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8D" w:rsidRPr="00C871B5" w:rsidRDefault="00C3198C" w:rsidP="001016E3">
      <w:pPr>
        <w:pStyle w:val="Titel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871B5">
        <w:rPr>
          <w:rFonts w:ascii="Times New Roman" w:hAnsi="Times New Roman" w:cs="Times New Roman"/>
          <w:color w:val="auto"/>
          <w:sz w:val="24"/>
          <w:szCs w:val="24"/>
        </w:rPr>
        <w:t>Supplementary Material: Use of the Zygoptera/Anisoptera ratio (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Insecta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>: Odonata) for habitat alteration assessment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Cerrado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>tream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s</w:t>
      </w:r>
    </w:p>
    <w:p w:rsidR="003F040D" w:rsidRPr="00C871B5" w:rsidRDefault="003F040D" w:rsidP="001016E3">
      <w:pPr>
        <w:pStyle w:val="Textkrper"/>
        <w:jc w:val="both"/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</w:rPr>
        <w:t xml:space="preserve">Authors: </w:t>
      </w:r>
      <w:r w:rsidR="00685914" w:rsidRPr="00C871B5">
        <w:rPr>
          <w:rFonts w:ascii="Times New Roman" w:hAnsi="Times New Roman" w:cs="Times New Roman"/>
        </w:rPr>
        <w:t xml:space="preserve">Wilmar Ferreira Da Silva Junior, </w:t>
      </w:r>
      <w:proofErr w:type="spellStart"/>
      <w:r w:rsidR="00685914" w:rsidRPr="00C871B5">
        <w:rPr>
          <w:rFonts w:ascii="Times New Roman" w:hAnsi="Times New Roman" w:cs="Times New Roman"/>
        </w:rPr>
        <w:t>Lenize</w:t>
      </w:r>
      <w:proofErr w:type="spellEnd"/>
      <w:r w:rsidR="00685914" w:rsidRPr="00C871B5">
        <w:rPr>
          <w:rFonts w:ascii="Times New Roman" w:hAnsi="Times New Roman" w:cs="Times New Roman"/>
        </w:rPr>
        <w:t xml:space="preserve"> Batista </w:t>
      </w:r>
      <w:proofErr w:type="spellStart"/>
      <w:r w:rsidR="00685914" w:rsidRPr="00C871B5">
        <w:rPr>
          <w:rFonts w:ascii="Times New Roman" w:hAnsi="Times New Roman" w:cs="Times New Roman"/>
        </w:rPr>
        <w:t>Calvão</w:t>
      </w:r>
      <w:proofErr w:type="spellEnd"/>
      <w:r w:rsidR="00685914" w:rsidRPr="00C871B5">
        <w:rPr>
          <w:rFonts w:ascii="Times New Roman" w:hAnsi="Times New Roman" w:cs="Times New Roman"/>
        </w:rPr>
        <w:t>, Fernando Geraldo Carvalho, Emmy Fiorella Medina-Espinoza</w:t>
      </w:r>
      <w:r w:rsidR="00C871B5">
        <w:rPr>
          <w:rFonts w:ascii="Times New Roman" w:hAnsi="Times New Roman" w:cs="Times New Roman"/>
        </w:rPr>
        <w:t xml:space="preserve"> &amp;</w:t>
      </w:r>
      <w:r w:rsidR="00685914" w:rsidRPr="00C871B5">
        <w:rPr>
          <w:rFonts w:ascii="Times New Roman" w:hAnsi="Times New Roman" w:cs="Times New Roman"/>
        </w:rPr>
        <w:t xml:space="preserve"> Leandro Schlemmer </w:t>
      </w:r>
      <w:proofErr w:type="spellStart"/>
      <w:r w:rsidR="00685914" w:rsidRPr="00C871B5">
        <w:rPr>
          <w:rFonts w:ascii="Times New Roman" w:hAnsi="Times New Roman" w:cs="Times New Roman"/>
        </w:rPr>
        <w:t>Brasil</w:t>
      </w:r>
      <w:proofErr w:type="spellEnd"/>
    </w:p>
    <w:p w:rsidR="00E5220F" w:rsidRPr="00C871B5" w:rsidRDefault="00FA5BD4" w:rsidP="00FA5BD4">
      <w:pPr>
        <w:pStyle w:val="berschrift2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Xbfb8554bf515d7296acd5222fc32e20eefe53d2"/>
      <w:r w:rsidRPr="00C871B5">
        <w:rPr>
          <w:rFonts w:ascii="Times New Roman" w:hAnsi="Times New Roman" w:cs="Times New Roman"/>
          <w:color w:val="auto"/>
          <w:sz w:val="24"/>
          <w:szCs w:val="24"/>
        </w:rPr>
        <w:t>Anisopter</w:t>
      </w:r>
      <w:r w:rsidR="00126AFE" w:rsidRPr="00C871B5">
        <w:rPr>
          <w:rFonts w:ascii="Times New Roman" w:hAnsi="Times New Roman" w:cs="Times New Roman"/>
          <w:color w:val="auto"/>
          <w:sz w:val="24"/>
          <w:szCs w:val="24"/>
        </w:rPr>
        <w:t>a (</w:t>
      </w:r>
      <w:proofErr w:type="spellStart"/>
      <w:r w:rsidR="00126AFE" w:rsidRPr="00C871B5">
        <w:rPr>
          <w:rFonts w:ascii="Times New Roman" w:hAnsi="Times New Roman" w:cs="Times New Roman"/>
          <w:color w:val="auto"/>
          <w:sz w:val="24"/>
          <w:szCs w:val="24"/>
        </w:rPr>
        <w:t>Libellulidae</w:t>
      </w:r>
      <w:proofErr w:type="spellEnd"/>
      <w:r w:rsidR="00126AFE" w:rsidRPr="00C871B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assemblage in the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Cerrado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iome in Mato Grosso (MT), Brazil. Data for the Nova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Xavantina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and Nova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Nazaré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streams of the 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tate were 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adopted</w:t>
      </w:r>
      <w:r w:rsidR="00C871B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from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Calvão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et al. (2018) and Carvalho et al. (2013), respectively.</w:t>
      </w:r>
    </w:p>
    <w:p w:rsidR="00683E47" w:rsidRPr="00C871B5" w:rsidRDefault="00683E47" w:rsidP="00683E47">
      <w:pPr>
        <w:pStyle w:val="Textkrper"/>
      </w:pPr>
    </w:p>
    <w:tbl>
      <w:tblPr>
        <w:tblW w:w="1340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1094"/>
        <w:gridCol w:w="1094"/>
        <w:gridCol w:w="1363"/>
        <w:gridCol w:w="1387"/>
        <w:gridCol w:w="1033"/>
        <w:gridCol w:w="1424"/>
        <w:gridCol w:w="1375"/>
        <w:gridCol w:w="1375"/>
      </w:tblGrid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984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Diastatops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intensa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Diastatops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obscura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Dythemis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multipunctata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Elasmothemis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cannacrioides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credula</w:t>
            </w:r>
            <w:proofErr w:type="spellEnd"/>
          </w:p>
        </w:tc>
        <w:tc>
          <w:tcPr>
            <w:tcW w:w="1314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Erythrodiplax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paraguayensis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Erythrodiplax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amazonica</w:t>
            </w:r>
            <w:proofErr w:type="spellEnd"/>
          </w:p>
        </w:tc>
        <w:tc>
          <w:tcPr>
            <w:tcW w:w="1265" w:type="dxa"/>
            <w:shd w:val="clear" w:color="auto" w:fill="auto"/>
            <w:noWrap/>
            <w:hideMark/>
          </w:tcPr>
          <w:p w:rsidR="00683E47" w:rsidRPr="00C871B5" w:rsidRDefault="00683E47" w:rsidP="00683E4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Erythrodiplax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melanica</w:t>
            </w:r>
            <w:proofErr w:type="spellEnd"/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683E47" w:rsidRPr="00C871B5" w:rsidTr="00683E47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83E47" w:rsidRPr="00C871B5" w:rsidTr="00683E47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683E47" w:rsidRPr="00C871B5" w:rsidRDefault="00683E47" w:rsidP="00683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683E47" w:rsidRPr="00C871B5" w:rsidRDefault="00683E47" w:rsidP="00683E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683E47" w:rsidRPr="00C871B5" w:rsidRDefault="00683E47" w:rsidP="00FA5BD4">
      <w:pPr>
        <w:pStyle w:val="Textkrper"/>
      </w:pPr>
    </w:p>
    <w:p w:rsidR="00683E47" w:rsidRPr="00C871B5" w:rsidRDefault="00683E47">
      <w:r w:rsidRPr="00C871B5">
        <w:br w:type="page"/>
      </w:r>
    </w:p>
    <w:tbl>
      <w:tblPr>
        <w:tblW w:w="1474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275"/>
        <w:gridCol w:w="1134"/>
        <w:gridCol w:w="1276"/>
        <w:gridCol w:w="1701"/>
        <w:gridCol w:w="1418"/>
        <w:gridCol w:w="1559"/>
        <w:gridCol w:w="1417"/>
      </w:tblGrid>
      <w:tr w:rsidR="00E9198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1056" w:type="dxa"/>
            <w:gridSpan w:val="8"/>
            <w:shd w:val="clear" w:color="auto" w:fill="auto"/>
            <w:noWrap/>
          </w:tcPr>
          <w:p w:rsidR="00E91981" w:rsidRPr="00C871B5" w:rsidRDefault="00E9198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Erythro</w:t>
            </w:r>
            <w:r w:rsidR="00DF44D1" w:rsidRPr="00C87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diplax</w:t>
            </w:r>
            <w:proofErr w:type="spellEnd"/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91981" w:rsidRPr="00C871B5" w:rsidRDefault="00E9198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="00DF44D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.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basalis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91981" w:rsidRPr="00C871B5" w:rsidRDefault="00E9198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="00DF44D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.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avittata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fusca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juliana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Ery.</w:t>
            </w:r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latimaculata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maculosa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ochracea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E91981" w:rsidRPr="00C871B5" w:rsidRDefault="00DF44D1" w:rsidP="00E9198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Ery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="00E91981"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umbrata</w:t>
            </w:r>
            <w:proofErr w:type="spellEnd"/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15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DF44D1" w:rsidRPr="00C871B5" w:rsidTr="00EE713D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1981" w:rsidRPr="00C871B5" w:rsidRDefault="00E91981" w:rsidP="00E9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1981" w:rsidRPr="00C871B5" w:rsidRDefault="00E91981" w:rsidP="00E919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FA5BD4" w:rsidRPr="00C871B5" w:rsidRDefault="00FA5BD4" w:rsidP="00FA5BD4">
      <w:pPr>
        <w:pStyle w:val="Textkrper"/>
      </w:pPr>
    </w:p>
    <w:p w:rsidR="00DF44D1" w:rsidRPr="00C871B5" w:rsidRDefault="00DF44D1">
      <w:pPr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569"/>
        <w:gridCol w:w="1723"/>
        <w:gridCol w:w="1858"/>
        <w:gridCol w:w="1497"/>
        <w:gridCol w:w="2358"/>
        <w:gridCol w:w="1607"/>
        <w:gridCol w:w="1857"/>
      </w:tblGrid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lastRenderedPageBreak/>
              <w:t>Source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Fylgia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amazonica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Gynothemis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pumila</w:t>
            </w:r>
            <w:proofErr w:type="spellEnd"/>
          </w:p>
        </w:tc>
        <w:tc>
          <w:tcPr>
            <w:tcW w:w="532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Gynothemi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ssp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Macrothemis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hemichlora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Macrothemi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ssp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EE713D" w:rsidRPr="00C871B5" w:rsidRDefault="00EE713D" w:rsidP="00EE713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Miathyria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marcella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15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875" w:type="pct"/>
            <w:shd w:val="clear" w:color="auto" w:fill="auto"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E713D" w:rsidRPr="00C871B5" w:rsidTr="00EE713D">
        <w:trPr>
          <w:trHeight w:val="300"/>
        </w:trPr>
        <w:tc>
          <w:tcPr>
            <w:tcW w:w="956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875" w:type="pct"/>
            <w:shd w:val="clear" w:color="auto" w:fill="auto"/>
            <w:noWrap/>
            <w:vAlign w:val="bottom"/>
            <w:hideMark/>
          </w:tcPr>
          <w:p w:rsidR="00EE713D" w:rsidRPr="00C871B5" w:rsidRDefault="00EE713D" w:rsidP="00EE71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EE713D" w:rsidRPr="00C871B5" w:rsidRDefault="00EE713D" w:rsidP="00EE713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EE713D" w:rsidRPr="00C871B5" w:rsidRDefault="00EE713D">
      <w:pPr>
        <w:rPr>
          <w:rFonts w:ascii="Times New Roman" w:hAnsi="Times New Roman" w:cs="Times New Roman"/>
        </w:rPr>
      </w:pPr>
    </w:p>
    <w:p w:rsidR="00EE713D" w:rsidRPr="00C871B5" w:rsidRDefault="00EE713D">
      <w:pPr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2975"/>
        <w:gridCol w:w="1419"/>
        <w:gridCol w:w="1416"/>
        <w:gridCol w:w="1986"/>
        <w:gridCol w:w="1416"/>
        <w:gridCol w:w="1277"/>
        <w:gridCol w:w="1428"/>
      </w:tblGrid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lastRenderedPageBreak/>
              <w:t>Source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Micrathyria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atra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Micrathyria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hesperis</w:t>
            </w:r>
            <w:proofErr w:type="spellEnd"/>
          </w:p>
        </w:tc>
        <w:tc>
          <w:tcPr>
            <w:tcW w:w="683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Micrathyria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pirassunungae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Micrathyria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spuria</w:t>
            </w:r>
          </w:p>
        </w:tc>
        <w:tc>
          <w:tcPr>
            <w:tcW w:w="439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Micrathyriastawiarskii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hideMark/>
          </w:tcPr>
          <w:p w:rsidR="00926701" w:rsidRPr="00C871B5" w:rsidRDefault="00926701" w:rsidP="00926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Nephepeltia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phryne</w:t>
            </w:r>
            <w:proofErr w:type="spellEnd"/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4A5A32" w:rsidRPr="00C871B5" w:rsidTr="004A5A32">
        <w:trPr>
          <w:trHeight w:val="315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023" w:type="pct"/>
            <w:shd w:val="clear" w:color="auto" w:fill="auto"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D11EC" w:rsidRPr="00C871B5" w:rsidTr="004A5A32">
        <w:trPr>
          <w:trHeight w:val="300"/>
        </w:trPr>
        <w:tc>
          <w:tcPr>
            <w:tcW w:w="902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023" w:type="pct"/>
            <w:shd w:val="clear" w:color="auto" w:fill="auto"/>
            <w:noWrap/>
            <w:vAlign w:val="bottom"/>
            <w:hideMark/>
          </w:tcPr>
          <w:p w:rsidR="00926701" w:rsidRPr="00C871B5" w:rsidRDefault="00926701" w:rsidP="00926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926701" w:rsidRPr="00C871B5" w:rsidRDefault="00926701" w:rsidP="0092670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4A5A32" w:rsidRPr="00C871B5" w:rsidRDefault="004A5A32">
      <w:pPr>
        <w:rPr>
          <w:rFonts w:ascii="Times New Roman" w:hAnsi="Times New Roman" w:cs="Times New Roman"/>
        </w:rPr>
      </w:pPr>
    </w:p>
    <w:p w:rsidR="004A5A32" w:rsidRPr="00C871B5" w:rsidRDefault="004A5A32">
      <w:pPr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</w:rPr>
        <w:br w:type="page"/>
      </w:r>
    </w:p>
    <w:tbl>
      <w:tblPr>
        <w:tblW w:w="538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1130"/>
        <w:gridCol w:w="2242"/>
        <w:gridCol w:w="1130"/>
        <w:gridCol w:w="1130"/>
        <w:gridCol w:w="1314"/>
        <w:gridCol w:w="959"/>
        <w:gridCol w:w="959"/>
        <w:gridCol w:w="874"/>
      </w:tblGrid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lastRenderedPageBreak/>
              <w:t>Source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Oligoclada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abbreviata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Oligocladapachystigma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Oligoclada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raineyi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Oligoclada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walkeri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Oligoclada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xanthopleura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Orthemis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ambirufa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Orthemis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discolor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000593" w:rsidRPr="00C871B5" w:rsidRDefault="00000593" w:rsidP="000005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Orthemi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ssp.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872C96" w:rsidRPr="00C871B5" w:rsidTr="00872C96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00593" w:rsidRPr="00C871B5" w:rsidRDefault="00000593" w:rsidP="0000059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00593" w:rsidRPr="00C871B5" w:rsidRDefault="00000593" w:rsidP="0000059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872C96" w:rsidRPr="00C871B5" w:rsidRDefault="00872C96">
      <w:pPr>
        <w:rPr>
          <w:rFonts w:ascii="Times New Roman" w:hAnsi="Times New Roman" w:cs="Times New Roman"/>
        </w:rPr>
      </w:pPr>
    </w:p>
    <w:p w:rsidR="00872C96" w:rsidRPr="00C871B5" w:rsidRDefault="00872C96">
      <w:pPr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</w:rPr>
        <w:br w:type="page"/>
      </w:r>
    </w:p>
    <w:tbl>
      <w:tblPr>
        <w:tblW w:w="13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1094"/>
        <w:gridCol w:w="1094"/>
        <w:gridCol w:w="1094"/>
        <w:gridCol w:w="1094"/>
        <w:gridCol w:w="1143"/>
        <w:gridCol w:w="996"/>
        <w:gridCol w:w="960"/>
        <w:gridCol w:w="960"/>
        <w:gridCol w:w="1277"/>
      </w:tblGrid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lastRenderedPageBreak/>
              <w:t>Source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electra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lais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Perithemis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tenera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Perithemis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thais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Planiplax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phoenicura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Planiplax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sp</w:t>
            </w:r>
            <w:r w:rsidR="00C871B5"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Uracis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reducta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Uracis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siemensi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5D2A" w:rsidRPr="00C871B5" w:rsidRDefault="00275D2A" w:rsidP="00275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Zenithoptera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viola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275D2A" w:rsidRPr="00C871B5" w:rsidTr="00275D2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2A" w:rsidRPr="00C871B5" w:rsidRDefault="00275D2A" w:rsidP="00275D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D2A" w:rsidRPr="00C871B5" w:rsidRDefault="00275D2A" w:rsidP="00275D2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E5220F" w:rsidRPr="00C871B5" w:rsidRDefault="00E5220F">
      <w:pPr>
        <w:rPr>
          <w:rFonts w:ascii="Times New Roman" w:eastAsiaTheme="majorEastAsia" w:hAnsi="Times New Roman" w:cs="Times New Roman"/>
          <w:b/>
          <w:bCs/>
        </w:rPr>
      </w:pPr>
      <w:r w:rsidRPr="00C871B5">
        <w:rPr>
          <w:rFonts w:ascii="Times New Roman" w:hAnsi="Times New Roman" w:cs="Times New Roman"/>
        </w:rPr>
        <w:br w:type="page"/>
      </w:r>
    </w:p>
    <w:p w:rsidR="00537A92" w:rsidRPr="00C871B5" w:rsidRDefault="00E5220F" w:rsidP="00062DC5">
      <w:pPr>
        <w:pStyle w:val="berschrift2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lastRenderedPageBreak/>
        <w:t>Zygoptera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994E0D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ssemblage in the </w:t>
      </w:r>
      <w:proofErr w:type="spellStart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Cerrado</w:t>
      </w:r>
      <w:proofErr w:type="spellEnd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1B5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iome in Mato Grosso (MT), Brazil. Data for the Nova </w:t>
      </w:r>
      <w:proofErr w:type="spellStart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Xavantina</w:t>
      </w:r>
      <w:proofErr w:type="spellEnd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and Nova </w:t>
      </w:r>
      <w:proofErr w:type="spellStart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Nazaré</w:t>
      </w:r>
      <w:proofErr w:type="spellEnd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streams of the State were </w:t>
      </w:r>
      <w:proofErr w:type="gramStart"/>
      <w:r w:rsidR="00C871B5">
        <w:rPr>
          <w:rFonts w:ascii="Times New Roman" w:hAnsi="Times New Roman" w:cs="Times New Roman"/>
          <w:color w:val="auto"/>
          <w:sz w:val="24"/>
          <w:szCs w:val="24"/>
        </w:rPr>
        <w:t xml:space="preserve">adopted </w:t>
      </w:r>
      <w:r w:rsidR="00C871B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from</w:t>
      </w:r>
      <w:proofErr w:type="gramEnd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>Calvão</w:t>
      </w:r>
      <w:proofErr w:type="spellEnd"/>
      <w:r w:rsidR="00062DC5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et al. (2018) and Carvalho et al. (2013), respectively.</w:t>
      </w:r>
    </w:p>
    <w:p w:rsidR="00F83393" w:rsidRPr="00C871B5" w:rsidRDefault="00F83393" w:rsidP="00F83393">
      <w:pPr>
        <w:pStyle w:val="Textkrper"/>
        <w:rPr>
          <w:rFonts w:ascii="Times New Roman" w:hAnsi="Times New Roman" w:cs="Times New Roman"/>
          <w:sz w:val="22"/>
          <w:szCs w:val="22"/>
        </w:rPr>
      </w:pPr>
    </w:p>
    <w:tbl>
      <w:tblPr>
        <w:tblW w:w="138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17"/>
        <w:gridCol w:w="1134"/>
        <w:gridCol w:w="1304"/>
        <w:gridCol w:w="1353"/>
        <w:gridCol w:w="1077"/>
        <w:gridCol w:w="1814"/>
        <w:gridCol w:w="972"/>
        <w:gridCol w:w="142"/>
        <w:gridCol w:w="1134"/>
        <w:gridCol w:w="1276"/>
        <w:gridCol w:w="11"/>
      </w:tblGrid>
      <w:tr w:rsidR="00645158" w:rsidRPr="00C871B5" w:rsidTr="00645158">
        <w:trPr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F90BE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F90BE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10217" w:type="dxa"/>
            <w:gridSpan w:val="10"/>
            <w:shd w:val="clear" w:color="auto" w:fill="auto"/>
            <w:noWrap/>
            <w:vAlign w:val="center"/>
            <w:hideMark/>
          </w:tcPr>
          <w:p w:rsidR="00645158" w:rsidRPr="00C871B5" w:rsidRDefault="00645158" w:rsidP="00F25E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Calopterygidae</w:t>
            </w:r>
            <w:proofErr w:type="spellEnd"/>
          </w:p>
        </w:tc>
      </w:tr>
      <w:tr w:rsidR="00645158" w:rsidRPr="00C871B5" w:rsidTr="00645158">
        <w:trPr>
          <w:gridAfter w:val="1"/>
          <w:wAfter w:w="11" w:type="dxa"/>
          <w:trHeight w:val="283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F90B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F90B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Hetaerinaauripennis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Hetaerina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curvicauda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Hetaerina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laesa</w:t>
            </w:r>
            <w:proofErr w:type="spellEnd"/>
          </w:p>
        </w:tc>
        <w:tc>
          <w:tcPr>
            <w:tcW w:w="1077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Hetaerina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rosea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Hetaerina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westfalli</w:t>
            </w:r>
            <w:proofErr w:type="spellEnd"/>
          </w:p>
        </w:tc>
        <w:tc>
          <w:tcPr>
            <w:tcW w:w="1114" w:type="dxa"/>
            <w:gridSpan w:val="2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Mnesareteguttifera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Mnesarete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lencioni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45158" w:rsidRPr="00C871B5" w:rsidRDefault="00645158" w:rsidP="00F90B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Mnesarete</w:t>
            </w:r>
            <w:proofErr w:type="spellEnd"/>
            <w:r w:rsid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williamsoni</w:t>
            </w:r>
            <w:proofErr w:type="spellEnd"/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13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7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45158" w:rsidRPr="00C871B5" w:rsidTr="00645158">
        <w:trPr>
          <w:gridAfter w:val="1"/>
          <w:wAfter w:w="11" w:type="dxa"/>
          <w:trHeight w:val="31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158" w:rsidRPr="00C871B5" w:rsidRDefault="00645158" w:rsidP="001818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5158" w:rsidRPr="00C871B5" w:rsidRDefault="00645158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062DC5" w:rsidRPr="00C871B5" w:rsidRDefault="00062DC5" w:rsidP="00062DC5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537A92" w:rsidRPr="00C871B5" w:rsidRDefault="00537A92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E5220F" w:rsidRPr="00C871B5" w:rsidRDefault="00E5220F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E5220F" w:rsidRPr="00C871B5" w:rsidRDefault="00E5220F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E5220F" w:rsidRPr="00C871B5" w:rsidRDefault="00E5220F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E5220F" w:rsidRPr="00C871B5" w:rsidRDefault="00E5220F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tbl>
      <w:tblPr>
        <w:tblW w:w="470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561"/>
        <w:gridCol w:w="852"/>
        <w:gridCol w:w="849"/>
        <w:gridCol w:w="1134"/>
        <w:gridCol w:w="1276"/>
        <w:gridCol w:w="849"/>
        <w:gridCol w:w="849"/>
        <w:gridCol w:w="991"/>
        <w:gridCol w:w="709"/>
        <w:gridCol w:w="1134"/>
        <w:gridCol w:w="1150"/>
      </w:tblGrid>
      <w:tr w:rsidR="00AF6CDB" w:rsidRPr="00C871B5" w:rsidTr="00900CD5">
        <w:trPr>
          <w:trHeight w:val="315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1A696E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1A696E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3576" w:type="pct"/>
            <w:gridSpan w:val="10"/>
            <w:shd w:val="clear" w:color="auto" w:fill="auto"/>
            <w:noWrap/>
            <w:vAlign w:val="bottom"/>
            <w:hideMark/>
          </w:tcPr>
          <w:p w:rsidR="00AF6CDB" w:rsidRPr="00C871B5" w:rsidRDefault="00AF6CDB" w:rsidP="008C0F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Coenagrionidae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 xml:space="preserve"> (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Acanthagrion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)</w:t>
            </w:r>
          </w:p>
        </w:tc>
      </w:tr>
      <w:tr w:rsidR="00AF6CDB" w:rsidRPr="00C871B5" w:rsidTr="00900CD5">
        <w:trPr>
          <w:trHeight w:val="315"/>
        </w:trPr>
        <w:tc>
          <w:tcPr>
            <w:tcW w:w="853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1A6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1A6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Aca.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abunae</w:t>
            </w:r>
            <w:proofErr w:type="spellEnd"/>
          </w:p>
        </w:tc>
        <w:tc>
          <w:tcPr>
            <w:tcW w:w="310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apicale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ascendens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chacoense</w:t>
            </w:r>
            <w:proofErr w:type="spellEnd"/>
          </w:p>
        </w:tc>
        <w:tc>
          <w:tcPr>
            <w:tcW w:w="310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gracile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gram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jessei</w:t>
            </w:r>
            <w:proofErr w:type="spellEnd"/>
            <w:proofErr w:type="gramEnd"/>
          </w:p>
        </w:tc>
        <w:tc>
          <w:tcPr>
            <w:tcW w:w="362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minutum</w:t>
            </w:r>
            <w:proofErr w:type="spellEnd"/>
          </w:p>
        </w:tc>
        <w:tc>
          <w:tcPr>
            <w:tcW w:w="259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Aca. </w:t>
            </w:r>
            <w:r w:rsidRPr="005B51E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lang w:eastAsia="es-PE"/>
              </w:rPr>
              <w:t>sp1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temporale</w:t>
            </w:r>
            <w:proofErr w:type="spellEnd"/>
          </w:p>
        </w:tc>
        <w:tc>
          <w:tcPr>
            <w:tcW w:w="419" w:type="pct"/>
            <w:shd w:val="clear" w:color="auto" w:fill="auto"/>
            <w:noWrap/>
            <w:hideMark/>
          </w:tcPr>
          <w:p w:rsidR="00AF6CDB" w:rsidRPr="00C871B5" w:rsidRDefault="00AF6CDB" w:rsidP="001A696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Aca.</w:t>
            </w:r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truncatum</w:t>
            </w:r>
            <w:proofErr w:type="spellEnd"/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53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33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900CD5">
        <w:trPr>
          <w:trHeight w:val="317"/>
        </w:trPr>
        <w:tc>
          <w:tcPr>
            <w:tcW w:w="853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156C8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B803D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22</w:t>
            </w:r>
          </w:p>
        </w:tc>
      </w:tr>
    </w:tbl>
    <w:p w:rsidR="00AF2ADF" w:rsidRPr="00C871B5" w:rsidRDefault="00AF2ADF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AF2ADF" w:rsidRPr="00C871B5" w:rsidRDefault="00AF2ADF">
      <w:pPr>
        <w:rPr>
          <w:rFonts w:ascii="Times New Roman" w:hAnsi="Times New Roman" w:cs="Times New Roman"/>
          <w:sz w:val="22"/>
          <w:szCs w:val="22"/>
        </w:rPr>
      </w:pPr>
      <w:r w:rsidRPr="00C871B5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470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418"/>
        <w:gridCol w:w="1276"/>
        <w:gridCol w:w="1134"/>
        <w:gridCol w:w="1134"/>
        <w:gridCol w:w="991"/>
        <w:gridCol w:w="849"/>
        <w:gridCol w:w="852"/>
        <w:gridCol w:w="1134"/>
        <w:gridCol w:w="1273"/>
        <w:gridCol w:w="1292"/>
      </w:tblGrid>
      <w:tr w:rsidR="00AF6CDB" w:rsidRPr="00C871B5" w:rsidTr="00900CD5">
        <w:trPr>
          <w:trHeight w:val="315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3628" w:type="pct"/>
            <w:gridSpan w:val="9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Coenagrionidae</w:t>
            </w:r>
            <w:proofErr w:type="spellEnd"/>
          </w:p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AF6CDB" w:rsidRPr="00C871B5" w:rsidTr="00900CD5">
        <w:trPr>
          <w:trHeight w:val="315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Aeolagrion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flammeum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chapadae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hasemani</w:t>
            </w:r>
            <w:proofErr w:type="spellEnd"/>
          </w:p>
        </w:tc>
        <w:tc>
          <w:tcPr>
            <w:tcW w:w="362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lilacina</w:t>
            </w:r>
            <w:proofErr w:type="spellEnd"/>
          </w:p>
        </w:tc>
        <w:tc>
          <w:tcPr>
            <w:tcW w:w="310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mollis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reclusa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smithiana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subapicalis</w:t>
            </w:r>
            <w:proofErr w:type="spellEnd"/>
          </w:p>
        </w:tc>
        <w:tc>
          <w:tcPr>
            <w:tcW w:w="470" w:type="pct"/>
            <w:shd w:val="clear" w:color="auto" w:fill="auto"/>
            <w:noWrap/>
            <w:hideMark/>
          </w:tcPr>
          <w:p w:rsidR="00AF6CDB" w:rsidRPr="00C871B5" w:rsidRDefault="00AF6CDB" w:rsidP="00C302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Argiatinc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tipennis</w:t>
            </w:r>
            <w:proofErr w:type="spellEnd"/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19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47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15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21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AF6CDB" w:rsidRPr="00C871B5" w:rsidTr="00E5220F">
        <w:trPr>
          <w:trHeight w:val="317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  <w:tr w:rsidR="00AF6CDB" w:rsidRPr="00C871B5" w:rsidTr="00900CD5">
        <w:trPr>
          <w:trHeight w:val="315"/>
        </w:trPr>
        <w:tc>
          <w:tcPr>
            <w:tcW w:w="854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C302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C302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900CD5" w:rsidRPr="00C871B5" w:rsidRDefault="00900CD5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900CD5" w:rsidRPr="00C871B5" w:rsidRDefault="00900CD5">
      <w:pPr>
        <w:rPr>
          <w:rFonts w:ascii="Times New Roman" w:hAnsi="Times New Roman" w:cs="Times New Roman"/>
          <w:sz w:val="22"/>
          <w:szCs w:val="22"/>
        </w:rPr>
      </w:pPr>
      <w:r w:rsidRPr="00C871B5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34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2551"/>
        <w:gridCol w:w="1276"/>
        <w:gridCol w:w="1134"/>
        <w:gridCol w:w="1843"/>
        <w:gridCol w:w="1134"/>
        <w:gridCol w:w="1276"/>
        <w:gridCol w:w="992"/>
        <w:gridCol w:w="1145"/>
      </w:tblGrid>
      <w:tr w:rsidR="00E5220F" w:rsidRPr="00C871B5" w:rsidTr="002B3035">
        <w:trPr>
          <w:trHeight w:val="315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E43067" w:rsidRPr="00C871B5" w:rsidRDefault="00E43067" w:rsidP="009C6704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3067" w:rsidRPr="00C871B5" w:rsidRDefault="00E43067" w:rsidP="009C6704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E43067" w:rsidRPr="00C871B5" w:rsidRDefault="00B07878" w:rsidP="00B07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PE"/>
              </w:rPr>
              <w:t>Coenagrionidae</w:t>
            </w:r>
            <w:proofErr w:type="spellEnd"/>
          </w:p>
        </w:tc>
      </w:tr>
      <w:tr w:rsidR="00E5220F" w:rsidRPr="00C871B5" w:rsidTr="002B3035">
        <w:trPr>
          <w:trHeight w:val="315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Oxyagrionchapadense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Oxyagrionfernandoi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Oxyagrion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sulmatogrossense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Peristictaaenoviridis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Protoneura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tenuis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Telebasiscoccinea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hideMark/>
          </w:tcPr>
          <w:p w:rsidR="0079300F" w:rsidRPr="00C871B5" w:rsidRDefault="0079300F" w:rsidP="009C6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Telebasis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gigantea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E5220F" w:rsidRPr="00C871B5" w:rsidTr="002B3035">
        <w:trPr>
          <w:trHeight w:val="317"/>
        </w:trPr>
        <w:tc>
          <w:tcPr>
            <w:tcW w:w="2098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79300F" w:rsidRPr="00C871B5" w:rsidRDefault="0079300F" w:rsidP="009C67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9300F" w:rsidRPr="00C871B5" w:rsidRDefault="0079300F" w:rsidP="009C670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194DC0" w:rsidRPr="00C871B5" w:rsidRDefault="00194DC0" w:rsidP="00537A92">
      <w:pPr>
        <w:pStyle w:val="Textkrper"/>
        <w:rPr>
          <w:rFonts w:ascii="Times New Roman" w:hAnsi="Times New Roman" w:cs="Times New Roman"/>
          <w:sz w:val="22"/>
          <w:szCs w:val="22"/>
        </w:rPr>
      </w:pPr>
    </w:p>
    <w:p w:rsidR="002B3035" w:rsidRPr="00C871B5" w:rsidRDefault="002B3035">
      <w:pPr>
        <w:rPr>
          <w:rFonts w:ascii="Times New Roman" w:hAnsi="Times New Roman" w:cs="Times New Roman"/>
          <w:sz w:val="22"/>
          <w:szCs w:val="22"/>
        </w:rPr>
      </w:pPr>
      <w:r w:rsidRPr="00C871B5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765"/>
        <w:gridCol w:w="2506"/>
        <w:gridCol w:w="2230"/>
        <w:gridCol w:w="2062"/>
        <w:gridCol w:w="1841"/>
        <w:gridCol w:w="2065"/>
      </w:tblGrid>
      <w:tr w:rsidR="006E41AB" w:rsidRPr="00C871B5" w:rsidTr="006E41AB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1623" w:type="pct"/>
            <w:gridSpan w:val="2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Coenagrionidae</w:t>
            </w:r>
            <w:proofErr w:type="spellEnd"/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Dicteriaridae</w:t>
            </w:r>
            <w:proofErr w:type="spellEnd"/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Perilestidae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Polythoridae</w:t>
            </w:r>
            <w:proofErr w:type="spellEnd"/>
          </w:p>
        </w:tc>
      </w:tr>
      <w:tr w:rsidR="006E41AB" w:rsidRPr="00C871B5" w:rsidTr="006E41AB">
        <w:trPr>
          <w:trHeight w:val="315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845" w:type="pct"/>
            <w:shd w:val="clear" w:color="auto" w:fill="auto"/>
            <w:noWrap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Tigriagrion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aurantinigrum</w:t>
            </w:r>
            <w:proofErr w:type="spellEnd"/>
          </w:p>
        </w:tc>
        <w:tc>
          <w:tcPr>
            <w:tcW w:w="777" w:type="pct"/>
            <w:shd w:val="clear" w:color="auto" w:fill="auto"/>
            <w:noWrap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Tuberculobasis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inversa</w:t>
            </w:r>
            <w:proofErr w:type="spellEnd"/>
          </w:p>
        </w:tc>
        <w:tc>
          <w:tcPr>
            <w:tcW w:w="720" w:type="pct"/>
            <w:shd w:val="clear" w:color="auto" w:fill="auto"/>
            <w:noWrap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Heliocharis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amazona</w:t>
            </w:r>
            <w:proofErr w:type="spellEnd"/>
          </w:p>
        </w:tc>
        <w:tc>
          <w:tcPr>
            <w:tcW w:w="644" w:type="pct"/>
            <w:shd w:val="clear" w:color="auto" w:fill="auto"/>
            <w:noWrap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Perilestes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solutus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hideMark/>
          </w:tcPr>
          <w:p w:rsidR="006E41AB" w:rsidRPr="00C871B5" w:rsidRDefault="006E41AB" w:rsidP="006E41A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Chalcopteryx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rutilans</w:t>
            </w:r>
            <w:proofErr w:type="spellEnd"/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6E41AB" w:rsidRPr="00C871B5" w:rsidTr="00225C60">
        <w:trPr>
          <w:trHeight w:val="317"/>
        </w:trPr>
        <w:tc>
          <w:tcPr>
            <w:tcW w:w="694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6E41AB" w:rsidRPr="00C871B5" w:rsidRDefault="006E41AB" w:rsidP="006E41A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  <w:hideMark/>
          </w:tcPr>
          <w:p w:rsidR="006E41AB" w:rsidRPr="00C871B5" w:rsidRDefault="006E41AB" w:rsidP="006E41A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</w:tbl>
    <w:p w:rsidR="00194DC0" w:rsidRPr="00C871B5" w:rsidRDefault="00194DC0">
      <w:pPr>
        <w:rPr>
          <w:rFonts w:ascii="Times New Roman" w:hAnsi="Times New Roman" w:cs="Times New Roman"/>
          <w:sz w:val="22"/>
          <w:szCs w:val="22"/>
        </w:rPr>
      </w:pPr>
      <w:r w:rsidRPr="00C871B5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559"/>
        <w:gridCol w:w="1416"/>
        <w:gridCol w:w="1562"/>
        <w:gridCol w:w="1556"/>
        <w:gridCol w:w="1559"/>
        <w:gridCol w:w="1274"/>
        <w:gridCol w:w="1134"/>
        <w:gridCol w:w="1134"/>
        <w:gridCol w:w="1149"/>
      </w:tblGrid>
      <w:tr w:rsidR="00AF6CDB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s-PE"/>
              </w:rPr>
            </w:pPr>
          </w:p>
        </w:tc>
        <w:tc>
          <w:tcPr>
            <w:tcW w:w="3708" w:type="pct"/>
            <w:gridSpan w:val="8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Coenagrionidae</w:t>
            </w:r>
            <w:proofErr w:type="spellEnd"/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Source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s-PE"/>
              </w:rPr>
              <w:t>Stream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Cyanallagma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ferenigrum</w:t>
            </w:r>
            <w:proofErr w:type="spellEnd"/>
          </w:p>
        </w:tc>
        <w:tc>
          <w:tcPr>
            <w:tcW w:w="537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Epipleoneura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machadoi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Epipleoneura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metallica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Helveciagrion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obsoletum</w:t>
            </w:r>
            <w:proofErr w:type="spellEnd"/>
          </w:p>
        </w:tc>
        <w:tc>
          <w:tcPr>
            <w:tcW w:w="438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Homeoura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nepos</w:t>
            </w:r>
            <w:proofErr w:type="spellEnd"/>
          </w:p>
        </w:tc>
        <w:tc>
          <w:tcPr>
            <w:tcW w:w="390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Ischnuracapreolus</w:t>
            </w:r>
            <w:proofErr w:type="spellEnd"/>
          </w:p>
        </w:tc>
        <w:tc>
          <w:tcPr>
            <w:tcW w:w="390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Ischnura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fluviatilis</w:t>
            </w:r>
            <w:proofErr w:type="spellEnd"/>
          </w:p>
        </w:tc>
        <w:tc>
          <w:tcPr>
            <w:tcW w:w="395" w:type="pct"/>
            <w:shd w:val="clear" w:color="auto" w:fill="auto"/>
            <w:noWrap/>
            <w:hideMark/>
          </w:tcPr>
          <w:p w:rsidR="00AF6CDB" w:rsidRPr="00C871B5" w:rsidRDefault="00AF6CDB" w:rsidP="00B742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Neoneura</w:t>
            </w:r>
            <w:proofErr w:type="spellEnd"/>
            <w:r w:rsidR="007A343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s-PE"/>
              </w:rPr>
              <w:t>sylvatica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Matrichan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Tritopá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Paca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630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Marayatobá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630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Branca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630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ÁguaLimpa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Estrela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Cigano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630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30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Carvalho et al. (2013)</w:t>
            </w:r>
          </w:p>
        </w:tc>
        <w:tc>
          <w:tcPr>
            <w:tcW w:w="536" w:type="pct"/>
            <w:shd w:val="clear" w:color="auto" w:fill="auto"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Goiás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Chupador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Duilio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Sucuri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Buritizinho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8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Caveira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2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Esperança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</w:tr>
      <w:tr w:rsidR="00900CD5" w:rsidRPr="00C871B5" w:rsidTr="00900CD5">
        <w:trPr>
          <w:trHeight w:val="315"/>
        </w:trPr>
        <w:tc>
          <w:tcPr>
            <w:tcW w:w="75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 xml:space="preserve"> et al. (2018)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AF6CDB" w:rsidRPr="00C871B5" w:rsidRDefault="00AF6CDB" w:rsidP="00B742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Murtinho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F6CDB" w:rsidRPr="00C871B5" w:rsidRDefault="00AF6CDB" w:rsidP="00900C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s-PE"/>
              </w:rPr>
              <w:t>13</w:t>
            </w:r>
          </w:p>
        </w:tc>
      </w:tr>
    </w:tbl>
    <w:p w:rsidR="00275D2A" w:rsidRPr="00C871B5" w:rsidRDefault="00275D2A" w:rsidP="00537A92">
      <w:pPr>
        <w:pStyle w:val="Textkrper"/>
        <w:rPr>
          <w:rFonts w:ascii="Times New Roman" w:hAnsi="Times New Roman" w:cs="Times New Roman"/>
          <w:sz w:val="22"/>
          <w:szCs w:val="22"/>
        </w:rPr>
        <w:sectPr w:rsidR="00275D2A" w:rsidRPr="00C871B5" w:rsidSect="00315EF9"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275D2A" w:rsidRPr="00C871B5" w:rsidRDefault="00275D2A" w:rsidP="00275D2A">
      <w:pPr>
        <w:pStyle w:val="berschrift2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Habitat Integrity Index of the streams sampled in the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Cerrado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iome in Mato Grosso (MT), Brazil. Data for the Nova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Xavantina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and Nova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Nazaré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streams of the 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tate were 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 xml:space="preserve">adopted 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from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Calvão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et al. (2018) and Carvalho et al. (2013), respectively.</w:t>
      </w:r>
    </w:p>
    <w:p w:rsidR="00C80617" w:rsidRPr="00C871B5" w:rsidRDefault="00C80617" w:rsidP="00C80617">
      <w:pPr>
        <w:pStyle w:val="Textkrper"/>
        <w:rPr>
          <w:rFonts w:ascii="Times New Roman" w:hAnsi="Times New Roman" w:cs="Times New Roman"/>
        </w:rPr>
      </w:pPr>
    </w:p>
    <w:tbl>
      <w:tblPr>
        <w:tblW w:w="6240" w:type="dxa"/>
        <w:tblInd w:w="22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1960"/>
      </w:tblGrid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Source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Stream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Habitat</w:t>
            </w:r>
            <w:r w:rsidR="007A3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Integrity</w:t>
            </w:r>
            <w:r w:rsidR="007A3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 xml:space="preserve"> </w:t>
            </w: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Index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Matrichan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0.664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Tritopá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0.774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Paca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0.264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Marayatobá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0.293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Areia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Branca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0.306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ÁguaLimpa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0.701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Estrela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0.685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Cigano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0.807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Boa </w:t>
            </w: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Esperança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0.838</w:t>
            </w:r>
          </w:p>
        </w:tc>
      </w:tr>
      <w:tr w:rsidR="00C80617" w:rsidRPr="00C871B5" w:rsidTr="00B62BB4">
        <w:trPr>
          <w:trHeight w:val="315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Carvalho et al. (2013)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Goiás</w:t>
            </w:r>
            <w:proofErr w:type="spellEnd"/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0.596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Buriti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0.963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Chupador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0.963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Duilio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0.963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Sucuri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0.879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Buritizinho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0.118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Caveira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0.125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Esperança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0.339</w:t>
            </w:r>
          </w:p>
        </w:tc>
      </w:tr>
      <w:tr w:rsidR="00C80617" w:rsidRPr="00C871B5" w:rsidTr="00B62BB4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Calvão</w:t>
            </w:r>
            <w:proofErr w:type="spellEnd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et al. (2018)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C80617" w:rsidRPr="00C871B5" w:rsidRDefault="00C80617" w:rsidP="00C8061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proofErr w:type="spellStart"/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Murtinho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80617" w:rsidRPr="00C871B5" w:rsidRDefault="00C80617" w:rsidP="00C8061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0.360</w:t>
            </w:r>
          </w:p>
        </w:tc>
      </w:tr>
    </w:tbl>
    <w:p w:rsidR="001C7BC4" w:rsidRPr="00C871B5" w:rsidRDefault="001C7BC4">
      <w:pPr>
        <w:rPr>
          <w:rFonts w:ascii="Times New Roman" w:eastAsia="Times New Roman" w:hAnsi="Times New Roman" w:cs="Times New Roman"/>
        </w:rPr>
      </w:pPr>
    </w:p>
    <w:p w:rsidR="001C7BC4" w:rsidRPr="00C871B5" w:rsidRDefault="001C7BC4" w:rsidP="001C7BC4">
      <w:pPr>
        <w:pStyle w:val="Listenabsatz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871B5">
        <w:rPr>
          <w:rFonts w:ascii="Times New Roman" w:eastAsia="Times New Roman" w:hAnsi="Times New Roman" w:cs="Times New Roman"/>
          <w:b/>
          <w:bCs/>
        </w:rPr>
        <w:t xml:space="preserve">Beta regression models describing the influence of the habitat integrity (as habitat integrity index, HII) on the proportion of Anisoptera in the </w:t>
      </w:r>
      <w:proofErr w:type="spellStart"/>
      <w:r w:rsidRPr="00C871B5">
        <w:rPr>
          <w:rFonts w:ascii="Times New Roman" w:eastAsia="Times New Roman" w:hAnsi="Times New Roman" w:cs="Times New Roman"/>
          <w:b/>
          <w:bCs/>
        </w:rPr>
        <w:t>Cerrado</w:t>
      </w:r>
      <w:proofErr w:type="spellEnd"/>
      <w:r w:rsidRPr="00C871B5">
        <w:rPr>
          <w:rFonts w:ascii="Times New Roman" w:eastAsia="Times New Roman" w:hAnsi="Times New Roman" w:cs="Times New Roman"/>
          <w:b/>
          <w:bCs/>
        </w:rPr>
        <w:t xml:space="preserve"> </w:t>
      </w:r>
      <w:r w:rsidR="007A3438">
        <w:rPr>
          <w:rFonts w:ascii="Times New Roman" w:eastAsia="Times New Roman" w:hAnsi="Times New Roman" w:cs="Times New Roman"/>
          <w:b/>
          <w:bCs/>
        </w:rPr>
        <w:t>b</w:t>
      </w:r>
      <w:r w:rsidRPr="00C871B5">
        <w:rPr>
          <w:rFonts w:ascii="Times New Roman" w:eastAsia="Times New Roman" w:hAnsi="Times New Roman" w:cs="Times New Roman"/>
          <w:b/>
          <w:bCs/>
        </w:rPr>
        <w:t>iome, Brazil. SE: standard error; R</w:t>
      </w:r>
      <w:r w:rsidRPr="00C871B5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Pr="00C871B5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Pr="00C871B5">
        <w:rPr>
          <w:rFonts w:ascii="Times New Roman" w:eastAsia="Times New Roman" w:hAnsi="Times New Roman" w:cs="Times New Roman"/>
          <w:b/>
          <w:bCs/>
        </w:rPr>
        <w:t>Nagelkerke's</w:t>
      </w:r>
      <w:proofErr w:type="spellEnd"/>
      <w:r w:rsidRPr="00C871B5">
        <w:rPr>
          <w:rFonts w:ascii="Times New Roman" w:eastAsia="Times New Roman" w:hAnsi="Times New Roman" w:cs="Times New Roman"/>
          <w:b/>
          <w:bCs/>
        </w:rPr>
        <w:t xml:space="preserve"> R</w:t>
      </w:r>
      <w:r w:rsidRPr="00C871B5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  <w:r w:rsidRPr="00C871B5">
        <w:rPr>
          <w:rFonts w:ascii="Times New Roman" w:eastAsia="Times New Roman" w:hAnsi="Times New Roman" w:cs="Times New Roman"/>
          <w:b/>
          <w:bCs/>
        </w:rPr>
        <w:t>; Statistically significant effects (p&lt;0.05) in bold.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31"/>
        <w:gridCol w:w="2597"/>
        <w:gridCol w:w="1545"/>
        <w:gridCol w:w="982"/>
        <w:gridCol w:w="1282"/>
        <w:gridCol w:w="1326"/>
        <w:gridCol w:w="952"/>
      </w:tblGrid>
      <w:tr w:rsidR="001C7BC4" w:rsidRPr="00C871B5" w:rsidTr="00C871B5">
        <w:trPr>
          <w:trHeight w:val="330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lang w:eastAsia="es-PE"/>
              </w:rPr>
              <w:t>Ratio</w:t>
            </w:r>
          </w:p>
        </w:tc>
        <w:tc>
          <w:tcPr>
            <w:tcW w:w="1201" w:type="pct"/>
            <w:gridSpan w:val="2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Metric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Estimate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SE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z-value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p-value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1C7BC4" w:rsidRPr="00C871B5" w:rsidRDefault="001C7BC4" w:rsidP="00C87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bookmarkStart w:id="2" w:name="_Hlk143439971"/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R</w:t>
            </w: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s-PE"/>
              </w:rPr>
              <w:t>2</w:t>
            </w:r>
            <w:bookmarkEnd w:id="2"/>
          </w:p>
        </w:tc>
      </w:tr>
      <w:tr w:rsidR="000205B1" w:rsidRPr="00C871B5" w:rsidTr="000205B1">
        <w:trPr>
          <w:trHeight w:val="330"/>
        </w:trPr>
        <w:tc>
          <w:tcPr>
            <w:tcW w:w="1031" w:type="pct"/>
            <w:gridSpan w:val="2"/>
            <w:vMerge w:val="restar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Anisoptera ratio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Richness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2.348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0.574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4.091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&lt;0.001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205B1" w:rsidRPr="00C871B5" w:rsidRDefault="000205B1" w:rsidP="000205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0.488</w:t>
            </w:r>
          </w:p>
        </w:tc>
      </w:tr>
      <w:tr w:rsidR="00A06762" w:rsidRPr="00C871B5" w:rsidTr="000205B1">
        <w:trPr>
          <w:trHeight w:val="330"/>
        </w:trPr>
        <w:tc>
          <w:tcPr>
            <w:tcW w:w="1031" w:type="pct"/>
            <w:gridSpan w:val="2"/>
            <w:vMerge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187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Abundance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-3.175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0.902</w:t>
            </w:r>
          </w:p>
        </w:tc>
        <w:tc>
          <w:tcPr>
            <w:tcW w:w="586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3.519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E"/>
              </w:rPr>
              <w:t>&lt;0.001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A06762" w:rsidRPr="00C871B5" w:rsidRDefault="00A06762" w:rsidP="00A067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C871B5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0.407</w:t>
            </w:r>
          </w:p>
        </w:tc>
      </w:tr>
    </w:tbl>
    <w:p w:rsidR="006A1615" w:rsidRPr="00C871B5" w:rsidRDefault="006A1615" w:rsidP="001C7BC4">
      <w:pPr>
        <w:pStyle w:val="berschrift2"/>
        <w:jc w:val="both"/>
        <w:rPr>
          <w:rFonts w:ascii="Times New Roman" w:hAnsi="Times New Roman" w:cs="Times New Roman"/>
          <w:sz w:val="24"/>
          <w:szCs w:val="24"/>
        </w:rPr>
      </w:pPr>
    </w:p>
    <w:p w:rsidR="00B62BB4" w:rsidRPr="00C871B5" w:rsidRDefault="00C80617" w:rsidP="001016E3">
      <w:pPr>
        <w:pStyle w:val="berschrift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Goodness of fit of the models </w:t>
      </w:r>
      <w:r w:rsidR="0099525A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that evaluate the influence of the 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 xml:space="preserve">state of </w:t>
      </w:r>
      <w:r w:rsidR="0099525A" w:rsidRPr="00C871B5">
        <w:rPr>
          <w:rFonts w:ascii="Times New Roman" w:hAnsi="Times New Roman" w:cs="Times New Roman"/>
          <w:color w:val="auto"/>
          <w:sz w:val="24"/>
          <w:szCs w:val="24"/>
        </w:rPr>
        <w:t>h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abitat </w:t>
      </w:r>
      <w:r w:rsidR="0099525A"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on the Zygoptera/Anisoptera ratio 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in the </w:t>
      </w:r>
      <w:proofErr w:type="spellStart"/>
      <w:r w:rsidRPr="00C871B5">
        <w:rPr>
          <w:rFonts w:ascii="Times New Roman" w:hAnsi="Times New Roman" w:cs="Times New Roman"/>
          <w:color w:val="auto"/>
          <w:sz w:val="24"/>
          <w:szCs w:val="24"/>
        </w:rPr>
        <w:t>Cerrado</w:t>
      </w:r>
      <w:proofErr w:type="spellEnd"/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 xml:space="preserve">iome in Mato Grosso (MT), Brazil. </w:t>
      </w:r>
    </w:p>
    <w:p w:rsidR="001016E3" w:rsidRPr="00C871B5" w:rsidRDefault="00C3198C" w:rsidP="001016E3">
      <w:pPr>
        <w:pStyle w:val="berschrift2"/>
        <w:numPr>
          <w:ilvl w:val="0"/>
          <w:numId w:val="7"/>
        </w:numPr>
        <w:jc w:val="both"/>
        <w:rPr>
          <w:rStyle w:val="NormalTok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t>Influence of habitat integrity on the proportion of Zygoptera richness</w:t>
      </w:r>
    </w:p>
    <w:p w:rsidR="00BE04DA" w:rsidRPr="00C871B5" w:rsidRDefault="00BE04DA" w:rsidP="00D71F2D">
      <w:pPr>
        <w:spacing w:after="0"/>
        <w:jc w:val="center"/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333365" cy="7705618"/>
            <wp:effectExtent l="0" t="0" r="0" b="0"/>
            <wp:docPr id="239480314" name="Picture 239480314" descr="A group of graphs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80314" name="Picture 239480314" descr="A group of graphs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1" b="-1136"/>
                    <a:stretch/>
                  </pic:blipFill>
                  <pic:spPr bwMode="auto">
                    <a:xfrm>
                      <a:off x="0" y="0"/>
                      <a:ext cx="5334000" cy="77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6E3" w:rsidRPr="00C871B5" w:rsidRDefault="001016E3" w:rsidP="001016E3">
      <w:pPr>
        <w:spacing w:after="0"/>
        <w:rPr>
          <w:rStyle w:val="NormalTok"/>
          <w:rFonts w:ascii="Times New Roman" w:hAnsi="Times New Roman" w:cs="Times New Roman"/>
          <w:sz w:val="24"/>
        </w:rPr>
      </w:pPr>
    </w:p>
    <w:p w:rsidR="003C4B55" w:rsidRPr="00C871B5" w:rsidRDefault="003C4B55" w:rsidP="003C4B55">
      <w:pPr>
        <w:pStyle w:val="FirstParagraph"/>
        <w:rPr>
          <w:rFonts w:ascii="Times New Roman" w:eastAsiaTheme="majorEastAsia" w:hAnsi="Times New Roman" w:cs="Times New Roman"/>
          <w:b/>
          <w:bCs/>
        </w:rPr>
      </w:pPr>
      <w:bookmarkStart w:id="3" w:name="Xbb7858b096450c58aec27f8d0d67577e71be582"/>
      <w:bookmarkEnd w:id="1"/>
      <w:r w:rsidRPr="00C871B5">
        <w:rPr>
          <w:rFonts w:ascii="Times New Roman" w:hAnsi="Times New Roman" w:cs="Times New Roman"/>
        </w:rPr>
        <w:br w:type="page"/>
      </w:r>
    </w:p>
    <w:p w:rsidR="00D71F2D" w:rsidRPr="00C871B5" w:rsidRDefault="00D71F2D" w:rsidP="00D71F2D">
      <w:pPr>
        <w:pStyle w:val="berschrift2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lastRenderedPageBreak/>
        <w:t>b) Influence of habitat integrity on the proportion of Anisoptera richness</w:t>
      </w:r>
    </w:p>
    <w:p w:rsidR="003C4B55" w:rsidRPr="00C871B5" w:rsidRDefault="003C4B55" w:rsidP="00BE04DA">
      <w:pPr>
        <w:pStyle w:val="FirstParagraph"/>
        <w:rPr>
          <w:rFonts w:ascii="Times New Roman" w:hAnsi="Times New Roman" w:cs="Times New Roman"/>
          <w:u w:val="single"/>
        </w:rPr>
      </w:pPr>
    </w:p>
    <w:p w:rsidR="00BB228D" w:rsidRPr="00C871B5" w:rsidRDefault="00C3198C" w:rsidP="00D71F2D">
      <w:pPr>
        <w:pStyle w:val="FirstParagraph"/>
        <w:jc w:val="center"/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334000" cy="7619999"/>
            <wp:effectExtent l="0" t="0" r="0" b="0"/>
            <wp:docPr id="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 descr="Supplementary-Material_files/figure-docx/unnamed-chunk-5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1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8D" w:rsidRPr="00C871B5" w:rsidRDefault="00BB228D" w:rsidP="001016E3">
      <w:pPr>
        <w:pStyle w:val="FirstParagraph"/>
        <w:rPr>
          <w:rFonts w:ascii="Times New Roman" w:hAnsi="Times New Roman" w:cs="Times New Roman"/>
        </w:rPr>
      </w:pPr>
    </w:p>
    <w:p w:rsidR="00D71F2D" w:rsidRPr="00C871B5" w:rsidRDefault="00D71F2D" w:rsidP="00D71F2D">
      <w:pPr>
        <w:pStyle w:val="Textkrper"/>
      </w:pPr>
    </w:p>
    <w:p w:rsidR="00D71F2D" w:rsidRPr="00C871B5" w:rsidRDefault="00D71F2D" w:rsidP="00D71F2D">
      <w:pPr>
        <w:pStyle w:val="Textkrper"/>
      </w:pPr>
    </w:p>
    <w:p w:rsidR="00D71F2D" w:rsidRPr="00C871B5" w:rsidRDefault="00D71F2D" w:rsidP="00D71F2D">
      <w:pPr>
        <w:pStyle w:val="berschrift2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71B5">
        <w:rPr>
          <w:rFonts w:ascii="Times New Roman" w:hAnsi="Times New Roman" w:cs="Times New Roman"/>
          <w:color w:val="auto"/>
          <w:sz w:val="24"/>
          <w:szCs w:val="24"/>
        </w:rPr>
        <w:lastRenderedPageBreak/>
        <w:t>c) Influence of habitat integrity on the proportion of Zygoptera abundance</w:t>
      </w:r>
    </w:p>
    <w:p w:rsidR="00BB228D" w:rsidRPr="00C871B5" w:rsidRDefault="00C3198C" w:rsidP="00D71F2D">
      <w:pPr>
        <w:pStyle w:val="FirstParagraph"/>
        <w:jc w:val="center"/>
        <w:rPr>
          <w:rFonts w:ascii="Times New Roman" w:hAnsi="Times New Roman" w:cs="Times New Roman"/>
        </w:rPr>
      </w:pPr>
      <w:bookmarkStart w:id="4" w:name="X4968ea507b0d7f36240192cc80eb5c7f6c97a18"/>
      <w:bookmarkEnd w:id="3"/>
      <w:r w:rsidRPr="00C871B5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334000" cy="7619999"/>
            <wp:effectExtent l="0" t="0" r="0" b="0"/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 descr="Supplementary-Material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1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D" w:rsidRPr="00C871B5" w:rsidRDefault="00D71F2D" w:rsidP="00D71F2D">
      <w:pPr>
        <w:pStyle w:val="berschrift2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X2ba44e38962eb8370466110b4ca9f661ee2151d"/>
      <w:bookmarkEnd w:id="4"/>
      <w:r w:rsidRPr="00C871B5">
        <w:rPr>
          <w:rFonts w:ascii="Times New Roman" w:hAnsi="Times New Roman" w:cs="Times New Roman"/>
          <w:color w:val="auto"/>
          <w:sz w:val="24"/>
          <w:szCs w:val="24"/>
        </w:rPr>
        <w:lastRenderedPageBreak/>
        <w:t>d) Influence of habitat integrity on the proportion of Anisoptera</w:t>
      </w:r>
      <w:r w:rsidR="007A34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871B5">
        <w:rPr>
          <w:rFonts w:ascii="Times New Roman" w:hAnsi="Times New Roman" w:cs="Times New Roman"/>
          <w:color w:val="auto"/>
          <w:sz w:val="24"/>
          <w:szCs w:val="24"/>
        </w:rPr>
        <w:t>abundance.</w:t>
      </w:r>
    </w:p>
    <w:p w:rsidR="00BB228D" w:rsidRPr="00C871B5" w:rsidRDefault="00C3198C" w:rsidP="00D71F2D">
      <w:pPr>
        <w:pStyle w:val="FirstParagraph"/>
        <w:jc w:val="center"/>
        <w:rPr>
          <w:rFonts w:ascii="Times New Roman" w:hAnsi="Times New Roman" w:cs="Times New Roman"/>
        </w:rPr>
      </w:pPr>
      <w:r w:rsidRPr="00C871B5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5334000" cy="7619999"/>
            <wp:effectExtent l="0" t="0" r="0" b="0"/>
            <wp:docPr id="4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Supplementary-Material_files/figure-docx/unnamed-chunk-11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1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"/>
    <w:p w:rsidR="00BB228D" w:rsidRPr="00C871B5" w:rsidRDefault="00BB228D" w:rsidP="001016E3">
      <w:pPr>
        <w:pStyle w:val="FirstParagraph"/>
        <w:rPr>
          <w:rFonts w:ascii="Times New Roman" w:hAnsi="Times New Roman" w:cs="Times New Roman"/>
        </w:rPr>
      </w:pPr>
    </w:p>
    <w:sectPr w:rsidR="00BB228D" w:rsidRPr="00C871B5" w:rsidSect="00275D2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36" w:rsidRDefault="009E6836">
      <w:pPr>
        <w:spacing w:after="0"/>
      </w:pPr>
      <w:r>
        <w:separator/>
      </w:r>
    </w:p>
  </w:endnote>
  <w:endnote w:type="continuationSeparator" w:id="0">
    <w:p w:rsidR="009E6836" w:rsidRDefault="009E68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36" w:rsidRDefault="009E6836">
      <w:r>
        <w:separator/>
      </w:r>
    </w:p>
  </w:footnote>
  <w:footnote w:type="continuationSeparator" w:id="0">
    <w:p w:rsidR="009E6836" w:rsidRDefault="009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EA3A77B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BA03D7B"/>
    <w:multiLevelType w:val="hybridMultilevel"/>
    <w:tmpl w:val="78802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7FA"/>
    <w:multiLevelType w:val="hybridMultilevel"/>
    <w:tmpl w:val="5314AF4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392D"/>
    <w:multiLevelType w:val="hybridMultilevel"/>
    <w:tmpl w:val="10D4FE8E"/>
    <w:lvl w:ilvl="0" w:tplc="561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B08"/>
    <w:multiLevelType w:val="hybridMultilevel"/>
    <w:tmpl w:val="E4EA9410"/>
    <w:lvl w:ilvl="0" w:tplc="35EE5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3D44D6"/>
    <w:multiLevelType w:val="hybridMultilevel"/>
    <w:tmpl w:val="57DE73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0B32"/>
    <w:multiLevelType w:val="hybridMultilevel"/>
    <w:tmpl w:val="78802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0024"/>
    <w:multiLevelType w:val="hybridMultilevel"/>
    <w:tmpl w:val="E4EA94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8D"/>
    <w:rsid w:val="00000593"/>
    <w:rsid w:val="00004B5D"/>
    <w:rsid w:val="000205B1"/>
    <w:rsid w:val="00062DC5"/>
    <w:rsid w:val="00070AB7"/>
    <w:rsid w:val="000A5767"/>
    <w:rsid w:val="000A6ED2"/>
    <w:rsid w:val="000C7CEE"/>
    <w:rsid w:val="001016E3"/>
    <w:rsid w:val="00126AFE"/>
    <w:rsid w:val="00156C84"/>
    <w:rsid w:val="001746B0"/>
    <w:rsid w:val="00181828"/>
    <w:rsid w:val="00194DC0"/>
    <w:rsid w:val="001A696E"/>
    <w:rsid w:val="001C7BC4"/>
    <w:rsid w:val="00225C60"/>
    <w:rsid w:val="00275D2A"/>
    <w:rsid w:val="002B3035"/>
    <w:rsid w:val="00310714"/>
    <w:rsid w:val="0031228B"/>
    <w:rsid w:val="00315EF9"/>
    <w:rsid w:val="00337460"/>
    <w:rsid w:val="0038308B"/>
    <w:rsid w:val="003C4B55"/>
    <w:rsid w:val="003E45F4"/>
    <w:rsid w:val="003F040D"/>
    <w:rsid w:val="0041225D"/>
    <w:rsid w:val="0047455E"/>
    <w:rsid w:val="00493F9F"/>
    <w:rsid w:val="004A5A32"/>
    <w:rsid w:val="00537A92"/>
    <w:rsid w:val="005B32B1"/>
    <w:rsid w:val="005B51E1"/>
    <w:rsid w:val="005F0232"/>
    <w:rsid w:val="00645158"/>
    <w:rsid w:val="0067708C"/>
    <w:rsid w:val="00683E47"/>
    <w:rsid w:val="00685914"/>
    <w:rsid w:val="006A1615"/>
    <w:rsid w:val="006A16F9"/>
    <w:rsid w:val="006C612F"/>
    <w:rsid w:val="006E41AB"/>
    <w:rsid w:val="00741251"/>
    <w:rsid w:val="007455DB"/>
    <w:rsid w:val="0079300F"/>
    <w:rsid w:val="007A3438"/>
    <w:rsid w:val="00840FA4"/>
    <w:rsid w:val="00872C96"/>
    <w:rsid w:val="008C0F3C"/>
    <w:rsid w:val="00900CD5"/>
    <w:rsid w:val="00926701"/>
    <w:rsid w:val="00993D09"/>
    <w:rsid w:val="00994E0D"/>
    <w:rsid w:val="0099525A"/>
    <w:rsid w:val="009C6704"/>
    <w:rsid w:val="009E6836"/>
    <w:rsid w:val="00A06762"/>
    <w:rsid w:val="00A56457"/>
    <w:rsid w:val="00A70E8D"/>
    <w:rsid w:val="00AD5D52"/>
    <w:rsid w:val="00AF2ADF"/>
    <w:rsid w:val="00AF6CDB"/>
    <w:rsid w:val="00B07878"/>
    <w:rsid w:val="00B62BB4"/>
    <w:rsid w:val="00B651E9"/>
    <w:rsid w:val="00B7422C"/>
    <w:rsid w:val="00B803DA"/>
    <w:rsid w:val="00BA0EB6"/>
    <w:rsid w:val="00BB228D"/>
    <w:rsid w:val="00BD5951"/>
    <w:rsid w:val="00BE04DA"/>
    <w:rsid w:val="00C30270"/>
    <w:rsid w:val="00C3198C"/>
    <w:rsid w:val="00C80617"/>
    <w:rsid w:val="00C871B5"/>
    <w:rsid w:val="00D71F2D"/>
    <w:rsid w:val="00DF44D1"/>
    <w:rsid w:val="00E1394B"/>
    <w:rsid w:val="00E31F23"/>
    <w:rsid w:val="00E43067"/>
    <w:rsid w:val="00E5220F"/>
    <w:rsid w:val="00E90194"/>
    <w:rsid w:val="00E91981"/>
    <w:rsid w:val="00ED11EC"/>
    <w:rsid w:val="00EE713D"/>
    <w:rsid w:val="00F022BF"/>
    <w:rsid w:val="00F25EB5"/>
    <w:rsid w:val="00F83393"/>
    <w:rsid w:val="00F90BE0"/>
    <w:rsid w:val="00FA5B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6267-3CCA-423E-92FD-90023E0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70AB7"/>
  </w:style>
  <w:style w:type="paragraph" w:styleId="berschrift1">
    <w:name w:val="heading 1"/>
    <w:basedOn w:val="Standard"/>
    <w:next w:val="Textkrper"/>
    <w:uiPriority w:val="9"/>
    <w:qFormat/>
    <w:rsid w:val="0007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070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3">
    <w:name w:val="heading 3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rsid w:val="00070A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rsid w:val="00070AB7"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  <w:rsid w:val="00070AB7"/>
  </w:style>
  <w:style w:type="paragraph" w:customStyle="1" w:styleId="Compact">
    <w:name w:val="Compact"/>
    <w:basedOn w:val="Textkrper"/>
    <w:qFormat/>
    <w:rsid w:val="00070AB7"/>
    <w:pPr>
      <w:spacing w:before="36" w:after="36"/>
    </w:pPr>
  </w:style>
  <w:style w:type="paragraph" w:styleId="Titel">
    <w:name w:val="Title"/>
    <w:basedOn w:val="Standard"/>
    <w:next w:val="Textkrper"/>
    <w:qFormat/>
    <w:rsid w:val="00070AB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rsid w:val="00070AB7"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rsid w:val="00070AB7"/>
    <w:pPr>
      <w:keepNext/>
      <w:keepLines/>
      <w:jc w:val="center"/>
    </w:pPr>
  </w:style>
  <w:style w:type="paragraph" w:styleId="Datum">
    <w:name w:val="Date"/>
    <w:next w:val="Textkrper"/>
    <w:qFormat/>
    <w:rsid w:val="00070AB7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070AB7"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  <w:rsid w:val="00070AB7"/>
  </w:style>
  <w:style w:type="paragraph" w:styleId="Blocktext">
    <w:name w:val="Block Text"/>
    <w:basedOn w:val="Textkrper"/>
    <w:next w:val="Textkrper"/>
    <w:uiPriority w:val="9"/>
    <w:unhideWhenUsed/>
    <w:qFormat/>
    <w:rsid w:val="00070AB7"/>
    <w:pPr>
      <w:spacing w:before="100" w:after="100"/>
      <w:ind w:left="480" w:right="480"/>
    </w:pPr>
  </w:style>
  <w:style w:type="paragraph" w:styleId="Funotentext">
    <w:name w:val="footnote text"/>
    <w:basedOn w:val="Standard"/>
    <w:uiPriority w:val="9"/>
    <w:unhideWhenUsed/>
    <w:qFormat/>
    <w:rsid w:val="00070AB7"/>
  </w:style>
  <w:style w:type="table" w:customStyle="1" w:styleId="Table">
    <w:name w:val="Table"/>
    <w:semiHidden/>
    <w:unhideWhenUsed/>
    <w:qFormat/>
    <w:rsid w:val="00070A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rsid w:val="00070AB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070AB7"/>
  </w:style>
  <w:style w:type="paragraph" w:styleId="Beschriftung">
    <w:name w:val="caption"/>
    <w:basedOn w:val="Standard"/>
    <w:link w:val="BeschriftungZchn"/>
    <w:rsid w:val="00070AB7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070AB7"/>
    <w:pPr>
      <w:keepNext/>
    </w:pPr>
  </w:style>
  <w:style w:type="paragraph" w:customStyle="1" w:styleId="ImageCaption">
    <w:name w:val="Image Caption"/>
    <w:basedOn w:val="Beschriftung"/>
    <w:rsid w:val="00070AB7"/>
  </w:style>
  <w:style w:type="paragraph" w:customStyle="1" w:styleId="Figure">
    <w:name w:val="Figure"/>
    <w:basedOn w:val="Standard"/>
    <w:rsid w:val="00070AB7"/>
  </w:style>
  <w:style w:type="paragraph" w:customStyle="1" w:styleId="CaptionedFigure">
    <w:name w:val="Captioned Figure"/>
    <w:basedOn w:val="Figure"/>
    <w:rsid w:val="00070AB7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070AB7"/>
  </w:style>
  <w:style w:type="character" w:customStyle="1" w:styleId="VerbatimChar">
    <w:name w:val="Verbatim Char"/>
    <w:basedOn w:val="BeschriftungZchn"/>
    <w:link w:val="SourceCode"/>
    <w:rsid w:val="00070AB7"/>
    <w:rPr>
      <w:rFonts w:ascii="Consolas" w:hAnsi="Consolas"/>
      <w:sz w:val="22"/>
    </w:rPr>
  </w:style>
  <w:style w:type="character" w:customStyle="1" w:styleId="SectionNumber">
    <w:name w:val="Section Number"/>
    <w:basedOn w:val="BeschriftungZchn"/>
    <w:rsid w:val="00070AB7"/>
  </w:style>
  <w:style w:type="character" w:styleId="Funotenzeichen">
    <w:name w:val="footnote reference"/>
    <w:basedOn w:val="BeschriftungZchn"/>
    <w:rsid w:val="00070AB7"/>
    <w:rPr>
      <w:vertAlign w:val="superscript"/>
    </w:rPr>
  </w:style>
  <w:style w:type="character" w:styleId="Hyperlink">
    <w:name w:val="Hyperlink"/>
    <w:basedOn w:val="BeschriftungZchn"/>
    <w:rsid w:val="00070AB7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070AB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rsid w:val="00070AB7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sid w:val="00070AB7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070AB7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070AB7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sid w:val="00070AB7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070AB7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sid w:val="00070AB7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sid w:val="00070AB7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sid w:val="00070AB7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sid w:val="00070AB7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sid w:val="00070AB7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sid w:val="00070AB7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sid w:val="00070AB7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sid w:val="00070AB7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sid w:val="00070AB7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sid w:val="00070AB7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sid w:val="00070AB7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070AB7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sid w:val="00070AB7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sid w:val="00070AB7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sid w:val="00070AB7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sid w:val="00070AB7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sid w:val="00070AB7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sid w:val="00070AB7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sid w:val="00070AB7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sid w:val="00070AB7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sid w:val="00070AB7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sid w:val="00070AB7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sid w:val="00070AB7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sid w:val="00070AB7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sid w:val="00070AB7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sid w:val="00070AB7"/>
    <w:rPr>
      <w:rFonts w:ascii="Consolas" w:hAnsi="Consolas"/>
      <w:sz w:val="22"/>
      <w:shd w:val="clear" w:color="auto" w:fill="F8F8F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061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Listenabsatz">
    <w:name w:val="List Paragraph"/>
    <w:basedOn w:val="Standard"/>
    <w:rsid w:val="001C7B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1B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2049</Words>
  <Characters>12909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Supplementary Material: Use of the Zygoptera/Anisoptera ratio (Insecta: Odonata) for habitat alterations assessment in Cerrado Stream</vt:lpstr>
      <vt:lpstr>Supplementary Material: Use of the Zygoptera/Anisoptera ratio (Insecta: Odonata) for habitat alterations assessment in Cerrado Stream</vt:lpstr>
    </vt:vector>
  </TitlesOfParts>
  <Company>Home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Material: Use of the Zygoptera/Anisoptera ratio (Insecta: Odonata) for habitat alterations assessment in Cerrado Stream</dc:title>
  <dc:creator>T</dc:creator>
  <cp:lastModifiedBy>Birgit</cp:lastModifiedBy>
  <cp:revision>2</cp:revision>
  <dcterms:created xsi:type="dcterms:W3CDTF">2023-09-13T11:22:00Z</dcterms:created>
  <dcterms:modified xsi:type="dcterms:W3CDTF">2023-09-13T11:22:00Z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2023-06-17</vt:lpwstr>
  </property>
  <property fmtid="{D5CDD505-2E9C-101B-9397-08002B2CF9AE}" pid="3" name="output">
    <vt:lpwstr>word_document</vt:lpwstr>
  </property>
  <property fmtid="{D5CDD505-2E9C-101B-9397-08002B2CF9AE}" pid="4" name="GrammarlyDocumentId">
    <vt:lpwstr>7ed8676400b980c1bd787d940f7ee7c23545861021a1dd9f1b29a6b2cb4b18c1</vt:lpwstr>
  </property>
</Properties>
</file>